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1B811" w14:textId="3E2A5561" w:rsidR="00D21DBB" w:rsidRPr="00C3561A" w:rsidRDefault="003C39CC" w:rsidP="00D21DBB">
      <w:pPr>
        <w:spacing w:after="360"/>
        <w:rPr>
          <w:rFonts w:cs="Noto Sans Light"/>
          <w:caps/>
          <w:sz w:val="28"/>
          <w:szCs w:val="28"/>
        </w:rPr>
      </w:pPr>
      <w:r>
        <w:rPr>
          <w:rFonts w:ascii="Noto Sans Black" w:hAnsi="Noto Sans Black"/>
          <w:caps/>
          <w:color w:val="EE7100" w:themeColor="text2"/>
          <w:sz w:val="28"/>
        </w:rPr>
        <w:t xml:space="preserve">Press </w:t>
      </w:r>
      <w:r w:rsidR="00B9648A">
        <w:rPr>
          <w:rFonts w:ascii="Noto Sans Black" w:hAnsi="Noto Sans Black"/>
          <w:caps/>
          <w:color w:val="EE7100" w:themeColor="text2"/>
          <w:sz w:val="28"/>
        </w:rPr>
        <w:t>Release</w:t>
      </w:r>
      <w:r>
        <w:rPr>
          <w:caps/>
          <w:sz w:val="28"/>
        </w:rPr>
        <w:t xml:space="preserve"> – </w:t>
      </w:r>
      <w:r>
        <w:rPr>
          <w:sz w:val="28"/>
        </w:rPr>
        <w:t>for publication</w:t>
      </w:r>
    </w:p>
    <w:p w14:paraId="05FF3A7F" w14:textId="115265A7" w:rsidR="00D21DBB" w:rsidRPr="00084DC1" w:rsidRDefault="005D6D11" w:rsidP="00D21DBB">
      <w:r>
        <w:t>05/05/2025</w:t>
      </w:r>
    </w:p>
    <w:p w14:paraId="2B73D734" w14:textId="1C64C7CF" w:rsidR="00D21DBB" w:rsidRPr="002349DB" w:rsidRDefault="005D6D11" w:rsidP="00D21DBB">
      <w:pPr>
        <w:pStyle w:val="berschrift"/>
      </w:pPr>
      <w:r>
        <w:t>EBRO ARMATUREN expands its produc</w:t>
      </w:r>
      <w:r w:rsidR="0083034C">
        <w:t>T</w:t>
      </w:r>
      <w:r>
        <w:t xml:space="preserve"> range with the butterfly valve WS112 for water applications.</w:t>
      </w:r>
    </w:p>
    <w:p w14:paraId="15DAE0BA" w14:textId="4CABC2B5" w:rsidR="00E23F33" w:rsidRPr="00435E62" w:rsidRDefault="00435E62" w:rsidP="00D21DBB">
      <w:pPr>
        <w:spacing w:after="360"/>
        <w:rPr>
          <w:rFonts w:cstheme="minorHAnsi"/>
          <w:b/>
          <w:bCs/>
        </w:rPr>
      </w:pPr>
      <w:r>
        <w:rPr>
          <w:b/>
        </w:rPr>
        <w:t>The WS112 for water application</w:t>
      </w:r>
      <w:r w:rsidR="0083034C">
        <w:rPr>
          <w:b/>
        </w:rPr>
        <w:t>s</w:t>
      </w:r>
      <w:r>
        <w:rPr>
          <w:b/>
        </w:rPr>
        <w:t xml:space="preserve"> has been newly added to the EBRO portfolio and is available </w:t>
      </w:r>
      <w:r w:rsidR="0083034C">
        <w:rPr>
          <w:b/>
        </w:rPr>
        <w:t>now</w:t>
      </w:r>
      <w:r>
        <w:rPr>
          <w:b/>
        </w:rPr>
        <w:t>. Pressure loss minimized by the flow-optimized design of the valve makes the WS112 your best choice for lines that transport large volumes of water. Seat design, shaft bearing and sealing with uninterrupted corrosion protection, along with the double-offset design</w:t>
      </w:r>
      <w:r w:rsidR="007B36A4">
        <w:rPr>
          <w:b/>
        </w:rPr>
        <w:t>,</w:t>
      </w:r>
      <w:r>
        <w:rPr>
          <w:b/>
        </w:rPr>
        <w:t xml:space="preserve"> turn the WS112 into an outstanding solution for a great variety of applications – specifically </w:t>
      </w:r>
      <w:r w:rsidR="0083034C">
        <w:rPr>
          <w:b/>
        </w:rPr>
        <w:t>those subject to</w:t>
      </w:r>
      <w:r>
        <w:rPr>
          <w:b/>
        </w:rPr>
        <w:t xml:space="preserve"> demanding conditions – in water management.</w:t>
      </w:r>
    </w:p>
    <w:p w14:paraId="0E79FCAE" w14:textId="06A35BD0" w:rsidR="00075135" w:rsidRPr="0039542F" w:rsidRDefault="00075135" w:rsidP="0039542F">
      <w:pPr>
        <w:spacing w:after="360"/>
      </w:pPr>
      <w:r>
        <w:t>The butterfly valve WS112, a brand-new addition to the product range, is EBRO’s double-offset valve for water applications, catering to water management. The valve is ideal for water distribution, water transport,</w:t>
      </w:r>
      <w:r w:rsidR="007B36A4">
        <w:t xml:space="preserve"> </w:t>
      </w:r>
      <w:r>
        <w:t xml:space="preserve">and water </w:t>
      </w:r>
      <w:r w:rsidR="007B36A4" w:rsidRPr="007B36A4">
        <w:t>treatment</w:t>
      </w:r>
      <w:r>
        <w:t>. The seal-on-disc design of the double-flanged valve ensures bubble-tight bi-directional sealing.</w:t>
      </w:r>
    </w:p>
    <w:p w14:paraId="29D0A68F" w14:textId="77777777" w:rsidR="007B36A4" w:rsidRPr="00D83E3A" w:rsidRDefault="00954CA7" w:rsidP="00D83E3A">
      <w:pPr>
        <w:spacing w:after="0"/>
        <w:rPr>
          <w:b/>
          <w:bCs/>
        </w:rPr>
      </w:pPr>
      <w:r w:rsidRPr="00D83E3A">
        <w:rPr>
          <w:b/>
          <w:bCs/>
        </w:rPr>
        <w:t xml:space="preserve">WS112: for </w:t>
      </w:r>
      <w:r w:rsidR="007B36A4" w:rsidRPr="00D83E3A">
        <w:rPr>
          <w:b/>
          <w:bCs/>
        </w:rPr>
        <w:t>demanding</w:t>
      </w:r>
      <w:r w:rsidRPr="00D83E3A">
        <w:rPr>
          <w:b/>
          <w:bCs/>
        </w:rPr>
        <w:t xml:space="preserve"> uses, e.g., in sewage systems or desalination plants</w:t>
      </w:r>
    </w:p>
    <w:p w14:paraId="45DC62B5" w14:textId="3CC82672" w:rsidR="00954CA7" w:rsidRPr="0039542F" w:rsidRDefault="00954CA7" w:rsidP="0039542F">
      <w:pPr>
        <w:spacing w:after="360"/>
      </w:pPr>
      <w:r>
        <w:t>The double-offset design with polygonal shaft reduces friction and minimizes wear</w:t>
      </w:r>
      <w:r w:rsidR="007B36A4">
        <w:t xml:space="preserve">, covering some of the most demanding </w:t>
      </w:r>
      <w:r w:rsidR="007B36A4" w:rsidRPr="007B36A4">
        <w:t>use cases</w:t>
      </w:r>
      <w:r>
        <w:t xml:space="preserve">. The design principle also ensures </w:t>
      </w:r>
      <w:r w:rsidR="0083034C">
        <w:t xml:space="preserve">that </w:t>
      </w:r>
      <w:r>
        <w:t xml:space="preserve">minimal strength </w:t>
      </w:r>
      <w:r w:rsidR="0083034C">
        <w:t xml:space="preserve">is needed </w:t>
      </w:r>
      <w:r>
        <w:t xml:space="preserve">to actuate the valve. This makes the EBRO WS112 the best choice for piping used to transport large volumes of water, </w:t>
      </w:r>
      <w:r w:rsidR="007B36A4">
        <w:t xml:space="preserve">e.g., </w:t>
      </w:r>
      <w:r>
        <w:t xml:space="preserve">in sewage systems </w:t>
      </w:r>
      <w:r w:rsidR="007B36A4">
        <w:t>a</w:t>
      </w:r>
      <w:r>
        <w:t>nd desalination plants.</w:t>
      </w:r>
    </w:p>
    <w:p w14:paraId="32C3A427" w14:textId="2DF1A3D2" w:rsidR="00954CA7" w:rsidRPr="00D83E3A" w:rsidRDefault="00954CA7" w:rsidP="00D83E3A">
      <w:pPr>
        <w:spacing w:after="0"/>
        <w:rPr>
          <w:b/>
          <w:bCs/>
        </w:rPr>
      </w:pPr>
      <w:r w:rsidRPr="00D83E3A">
        <w:rPr>
          <w:b/>
          <w:bCs/>
        </w:rPr>
        <w:t>Special features of the design #1: Shaft with polygonal profile and dry-shaft design</w:t>
      </w:r>
    </w:p>
    <w:p w14:paraId="30766D98" w14:textId="75D479A9" w:rsidR="007B36A4" w:rsidRDefault="00954CA7" w:rsidP="0039542F">
      <w:pPr>
        <w:spacing w:after="360"/>
      </w:pPr>
      <w:r>
        <w:t xml:space="preserve">The polygonal profile of the shaft optimizes the transmission of forces onto the disc, rendering bolts and pins that connect the shaft to the </w:t>
      </w:r>
      <w:proofErr w:type="gramStart"/>
      <w:r>
        <w:t>disc superfluous</w:t>
      </w:r>
      <w:proofErr w:type="gramEnd"/>
      <w:r w:rsidR="004C4B0E">
        <w:t>,</w:t>
      </w:r>
      <w:r>
        <w:t xml:space="preserve"> while the polygonal profile ensures a form-locking connection. It's the perfect functional principle for valves that are actuated only rarely, i.e., once or twice per year. The dry-shaft design with high-precision bearings, O-rings, and closed disc hubs also ensures long-term corrosion protection.</w:t>
      </w:r>
    </w:p>
    <w:p w14:paraId="0DC2F57D" w14:textId="77777777" w:rsidR="007B36A4" w:rsidRPr="00D83E3A" w:rsidRDefault="00954CA7" w:rsidP="00D83E3A">
      <w:pPr>
        <w:spacing w:after="0"/>
        <w:rPr>
          <w:b/>
          <w:bCs/>
        </w:rPr>
      </w:pPr>
      <w:r w:rsidRPr="00D83E3A">
        <w:rPr>
          <w:b/>
          <w:bCs/>
        </w:rPr>
        <w:t>Special features of the design #2: Double-offset valve</w:t>
      </w:r>
    </w:p>
    <w:p w14:paraId="3E771A61" w14:textId="4A572F6B" w:rsidR="00954CA7" w:rsidRDefault="00954CA7" w:rsidP="0039542F">
      <w:pPr>
        <w:spacing w:after="360"/>
      </w:pPr>
      <w:r>
        <w:t xml:space="preserve">Beyond this, the design principle of the double-offset valve makes sure that the disc will quickly move out of the seal and seat ring to minimize friction and wear. Where repairs are needed, the design keeps replacement of the sealing ring screwed to the disc via another </w:t>
      </w:r>
      <w:proofErr w:type="gramStart"/>
      <w:r>
        <w:t>ring simple</w:t>
      </w:r>
      <w:proofErr w:type="gramEnd"/>
      <w:r>
        <w:t>. Just loosen the screws, take out the ring, and replace the seal. That’s all. Epoxy-resin coating on the valve optimizes corrosion protection.</w:t>
      </w:r>
    </w:p>
    <w:p w14:paraId="7A3BE256" w14:textId="0FEAE5D6" w:rsidR="00954CA7" w:rsidRPr="00D83E3A" w:rsidRDefault="00954CA7" w:rsidP="00D83E3A">
      <w:pPr>
        <w:spacing w:after="0"/>
        <w:rPr>
          <w:b/>
          <w:bCs/>
        </w:rPr>
      </w:pPr>
      <w:r w:rsidRPr="00D83E3A">
        <w:rPr>
          <w:b/>
          <w:bCs/>
        </w:rPr>
        <w:lastRenderedPageBreak/>
        <w:t>Nominal sizes and pressure ratings: The EBRO WS112 core details</w:t>
      </w:r>
    </w:p>
    <w:p w14:paraId="2945991A" w14:textId="630635A9" w:rsidR="007B36A4" w:rsidRDefault="00954CA7" w:rsidP="0039542F">
      <w:pPr>
        <w:spacing w:after="360"/>
      </w:pPr>
      <w:r>
        <w:t>The EBRO WS112 is available only in the double-flanged build, in nominal sizes DN 100 – DN 2200. Larger nominal size</w:t>
      </w:r>
      <w:r w:rsidR="007B36A4">
        <w:t>s</w:t>
      </w:r>
      <w:r>
        <w:t xml:space="preserve"> are available upon request. The valve </w:t>
      </w:r>
      <w:r w:rsidR="0083034C">
        <w:t>comes</w:t>
      </w:r>
      <w:r>
        <w:t xml:space="preserve"> in pressure ratings PN 10, 16, 25, and PN 40 and </w:t>
      </w:r>
      <w:r w:rsidR="007B36A4">
        <w:t xml:space="preserve">with the </w:t>
      </w:r>
      <w:r>
        <w:t>face-to-</w:t>
      </w:r>
      <w:r w:rsidR="007B36A4">
        <w:t>f</w:t>
      </w:r>
      <w:r>
        <w:t xml:space="preserve">ace </w:t>
      </w:r>
      <w:r w:rsidR="007B36A4">
        <w:t xml:space="preserve">options </w:t>
      </w:r>
      <w:r>
        <w:t xml:space="preserve">EN 558-1 series 14 and series 13, DIN 3202 F4 and F16. The valve body is made of gray cast iron (GG) or ductile iron (GGG 40 painted). Electric actuators are not the only actuator option for </w:t>
      </w:r>
      <w:proofErr w:type="gramStart"/>
      <w:r>
        <w:t>the WS112</w:t>
      </w:r>
      <w:proofErr w:type="gramEnd"/>
      <w:r>
        <w:t>. Slider crank mechanism</w:t>
      </w:r>
      <w:r w:rsidR="007B36A4">
        <w:t>s</w:t>
      </w:r>
      <w:r>
        <w:t xml:space="preserve"> are </w:t>
      </w:r>
      <w:r w:rsidR="007B36A4">
        <w:t>also available</w:t>
      </w:r>
      <w:r>
        <w:t>, for example.</w:t>
      </w:r>
    </w:p>
    <w:p w14:paraId="727E1EC2" w14:textId="69317C5E" w:rsidR="00D21DBB" w:rsidRDefault="005660E8" w:rsidP="005660E8">
      <w:pPr>
        <w:spacing w:after="360"/>
        <w:rPr>
          <w:rFonts w:cs="Noto Sans Light"/>
          <w:i/>
          <w:iCs/>
        </w:rPr>
      </w:pPr>
      <w:r>
        <w:rPr>
          <w:noProof/>
        </w:rPr>
        <w:drawing>
          <wp:inline distT="0" distB="0" distL="0" distR="0" wp14:anchorId="104AA423" wp14:editId="723DB856">
            <wp:extent cx="2969895" cy="2969895"/>
            <wp:effectExtent l="0" t="0" r="1905" b="0"/>
            <wp:docPr id="129681333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813331" name="Grafik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69895" cy="2969895"/>
                    </a:xfrm>
                    <a:prstGeom prst="rect">
                      <a:avLst/>
                    </a:prstGeom>
                  </pic:spPr>
                </pic:pic>
              </a:graphicData>
            </a:graphic>
          </wp:inline>
        </w:drawing>
      </w:r>
      <w:r>
        <w:rPr>
          <w:b/>
        </w:rPr>
        <w:br/>
        <w:t xml:space="preserve">Figure 1: </w:t>
      </w:r>
      <w:r>
        <w:rPr>
          <w:i/>
        </w:rPr>
        <w:t>The double-offset butterfly valve WS112.</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D01483" w14:paraId="004D9D01" w14:textId="77777777" w:rsidTr="00D01483">
        <w:tc>
          <w:tcPr>
            <w:tcW w:w="4672" w:type="dxa"/>
          </w:tcPr>
          <w:p w14:paraId="6BD6026F" w14:textId="2FB395EF" w:rsidR="00D01483" w:rsidRDefault="00D01483" w:rsidP="00D21DBB">
            <w:pPr>
              <w:rPr>
                <w:rFonts w:cs="Noto Sans Light"/>
              </w:rPr>
            </w:pPr>
          </w:p>
        </w:tc>
        <w:tc>
          <w:tcPr>
            <w:tcW w:w="4672" w:type="dxa"/>
          </w:tcPr>
          <w:p w14:paraId="5677B4BF" w14:textId="178BC3A6" w:rsidR="00D01483" w:rsidRDefault="00D01483" w:rsidP="00D21DBB">
            <w:pPr>
              <w:rPr>
                <w:rFonts w:cs="Noto Sans Light"/>
              </w:rPr>
            </w:pPr>
          </w:p>
          <w:p w14:paraId="0C28478D" w14:textId="4AB028D5" w:rsidR="005660E8" w:rsidRDefault="005660E8" w:rsidP="00D21DBB">
            <w:pPr>
              <w:rPr>
                <w:rFonts w:cs="Noto Sans Light"/>
              </w:rPr>
            </w:pPr>
          </w:p>
        </w:tc>
      </w:tr>
    </w:tbl>
    <w:p w14:paraId="3AD09ED5" w14:textId="77777777" w:rsidR="00D21DBB" w:rsidRPr="00B840E6" w:rsidRDefault="00D21DBB" w:rsidP="00D21DBB">
      <w:pPr>
        <w:pStyle w:val="KeinLeerraum"/>
        <w:rPr>
          <w:rFonts w:asciiTheme="majorHAnsi" w:hAnsiTheme="majorHAnsi" w:cstheme="majorHAnsi"/>
          <w:b/>
          <w:bCs/>
        </w:rPr>
      </w:pPr>
      <w:r>
        <w:rPr>
          <w:rFonts w:asciiTheme="majorHAnsi" w:hAnsiTheme="majorHAnsi"/>
          <w:b/>
        </w:rPr>
        <w:t>Press contact:</w:t>
      </w:r>
    </w:p>
    <w:p w14:paraId="706A1257" w14:textId="5FCEB02F" w:rsidR="00D21DBB" w:rsidRPr="00B840E6" w:rsidRDefault="00B840E6" w:rsidP="00D21DBB">
      <w:pPr>
        <w:pStyle w:val="KeinLeerraum"/>
      </w:pPr>
      <w:r>
        <w:t>Diana Völkel</w:t>
      </w:r>
    </w:p>
    <w:p w14:paraId="5B389C2D" w14:textId="77777777" w:rsidR="007B36A4" w:rsidRPr="00B9648A" w:rsidRDefault="00D21DBB" w:rsidP="00D21DBB">
      <w:pPr>
        <w:pStyle w:val="KeinLeerraum"/>
        <w:rPr>
          <w:lang w:val="de-DE"/>
        </w:rPr>
      </w:pPr>
      <w:r>
        <w:t xml:space="preserve">EBRO ARMATUREN Gebr. </w:t>
      </w:r>
      <w:r w:rsidRPr="00B9648A">
        <w:rPr>
          <w:lang w:val="de-DE"/>
        </w:rPr>
        <w:t>Bröer GmbH</w:t>
      </w:r>
      <w:r w:rsidRPr="00B9648A">
        <w:rPr>
          <w:lang w:val="de-DE"/>
        </w:rPr>
        <w:br/>
        <w:t>P: +49 2331 904-202</w:t>
      </w:r>
      <w:r w:rsidRPr="00B9648A">
        <w:rPr>
          <w:lang w:val="de-DE"/>
        </w:rPr>
        <w:br/>
        <w:t xml:space="preserve">E: </w:t>
      </w:r>
      <w:hyperlink r:id="rId12" w:history="1">
        <w:r w:rsidRPr="00B9648A">
          <w:rPr>
            <w:rStyle w:val="Hyperlink"/>
            <w:lang w:val="de-DE"/>
          </w:rPr>
          <w:t>d.voelkel@ebro-armaturen.com</w:t>
        </w:r>
      </w:hyperlink>
    </w:p>
    <w:p w14:paraId="304E7FF4" w14:textId="6E0F478B" w:rsidR="00D21DBB" w:rsidRPr="00B9648A" w:rsidRDefault="00D21DBB" w:rsidP="00D21DBB">
      <w:pPr>
        <w:pStyle w:val="KeinLeerraum"/>
        <w:rPr>
          <w:lang w:val="de-DE"/>
        </w:rPr>
      </w:pPr>
    </w:p>
    <w:sectPr w:rsidR="00D21DBB" w:rsidRPr="00B9648A" w:rsidSect="00CE45E9">
      <w:headerReference w:type="default" r:id="rId13"/>
      <w:footerReference w:type="default" r:id="rId14"/>
      <w:type w:val="continuous"/>
      <w:pgSz w:w="11906" w:h="16838"/>
      <w:pgMar w:top="2552"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FD46E" w14:textId="77777777" w:rsidR="008123BA" w:rsidRPr="00510585" w:rsidRDefault="008123BA" w:rsidP="00DF67BD">
      <w:pPr>
        <w:spacing w:after="0" w:line="240" w:lineRule="auto"/>
      </w:pPr>
      <w:r w:rsidRPr="00510585">
        <w:separator/>
      </w:r>
    </w:p>
  </w:endnote>
  <w:endnote w:type="continuationSeparator" w:id="0">
    <w:p w14:paraId="025B892A" w14:textId="77777777" w:rsidR="008123BA" w:rsidRPr="00510585" w:rsidRDefault="008123BA" w:rsidP="00DF67BD">
      <w:pPr>
        <w:spacing w:after="0" w:line="240" w:lineRule="auto"/>
      </w:pPr>
      <w:r w:rsidRPr="005105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regular">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Noto Sans Light">
    <w:panose1 w:val="020B0502040504020204"/>
    <w:charset w:val="00"/>
    <w:family w:val="swiss"/>
    <w:pitch w:val="variable"/>
    <w:sig w:usb0="E00002FF" w:usb1="4000201F" w:usb2="08000029" w:usb3="00000000" w:csb0="0000019F" w:csb1="00000000"/>
  </w:font>
  <w:font w:name="Noto Sans SemiBold">
    <w:panose1 w:val="020B0502040504020204"/>
    <w:charset w:val="00"/>
    <w:family w:val="swiss"/>
    <w:pitch w:val="variable"/>
    <w:sig w:usb0="E00002FF" w:usb1="4000201F" w:usb2="08000029" w:usb3="00000000" w:csb0="0000019F" w:csb1="00000000"/>
  </w:font>
  <w:font w:name="Noto Sans Black">
    <w:altName w:val="Calibri"/>
    <w:panose1 w:val="020B0502040504020204"/>
    <w:charset w:val="00"/>
    <w:family w:val="swiss"/>
    <w:pitch w:val="variable"/>
    <w:sig w:usb0="E00002FF" w:usb1="4000201F" w:usb2="08000029" w:usb3="00000000" w:csb0="000001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77D27" w14:textId="77777777" w:rsidR="008F7485" w:rsidRDefault="008F7485">
    <w:pPr>
      <w:pStyle w:val="Fuzeile"/>
    </w:pPr>
    <w:r>
      <w:rPr>
        <w:noProof/>
      </w:rPr>
      <mc:AlternateContent>
        <mc:Choice Requires="wpg">
          <w:drawing>
            <wp:anchor distT="0" distB="0" distL="114300" distR="114300" simplePos="0" relativeHeight="251658241" behindDoc="0" locked="0" layoutInCell="1" allowOverlap="1" wp14:anchorId="4FD53086" wp14:editId="6418FD40">
              <wp:simplePos x="0" y="0"/>
              <wp:positionH relativeFrom="page">
                <wp:posOffset>-20955</wp:posOffset>
              </wp:positionH>
              <wp:positionV relativeFrom="paragraph">
                <wp:posOffset>490421</wp:posOffset>
              </wp:positionV>
              <wp:extent cx="7603200" cy="144000"/>
              <wp:effectExtent l="0" t="0" r="0" b="8890"/>
              <wp:wrapNone/>
              <wp:docPr id="1616067141" name="Gruppieren 9"/>
              <wp:cNvGraphicFramePr/>
              <a:graphic xmlns:a="http://schemas.openxmlformats.org/drawingml/2006/main">
                <a:graphicData uri="http://schemas.microsoft.com/office/word/2010/wordprocessingGroup">
                  <wpg:wgp>
                    <wpg:cNvGrpSpPr/>
                    <wpg:grpSpPr>
                      <a:xfrm>
                        <a:off x="0" y="0"/>
                        <a:ext cx="7603200" cy="144000"/>
                        <a:chOff x="-8022" y="0"/>
                        <a:chExt cx="7605254" cy="144201"/>
                      </a:xfrm>
                    </wpg:grpSpPr>
                    <wps:wsp>
                      <wps:cNvPr id="527422161" name="Rechteck 8"/>
                      <wps:cNvSpPr/>
                      <wps:spPr>
                        <a:xfrm>
                          <a:off x="-8022" y="201"/>
                          <a:ext cx="2556000" cy="14400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9017121" name="Rechteck 8"/>
                      <wps:cNvSpPr/>
                      <wps:spPr>
                        <a:xfrm>
                          <a:off x="2522622" y="201"/>
                          <a:ext cx="2556000" cy="144000"/>
                        </a:xfrm>
                        <a:prstGeom prst="rect">
                          <a:avLst/>
                        </a:prstGeom>
                        <a:solidFill>
                          <a:srgbClr val="EE71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1977051" name="Rechteck 8"/>
                      <wps:cNvSpPr/>
                      <wps:spPr>
                        <a:xfrm>
                          <a:off x="5041232" y="0"/>
                          <a:ext cx="2556000" cy="144000"/>
                        </a:xfrm>
                        <a:prstGeom prst="rect">
                          <a:avLst/>
                        </a:prstGeom>
                        <a:solidFill>
                          <a:srgbClr val="B2B2B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BA67D0D" id="Gruppieren 9" o:spid="_x0000_s1026" style="position:absolute;margin-left:-1.65pt;margin-top:38.6pt;width:598.7pt;height:11.35pt;z-index:251658241;mso-position-horizontal-relative:page;mso-width-relative:margin;mso-height-relative:margin" coordorigin="-80" coordsize="76052,1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">
              <v:rect id="Rechteck 8" o:spid="_x0000_s1027" style="position:absolute;left:-80;top:2;width:25559;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" fillcolor="#003570 [3204]" stroked="f" strokeweight="1pt"/>
              <v:rect id="Rechteck 8" o:spid="_x0000_s1028" style="position:absolute;left:25226;top:2;width:2556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" fillcolor="#ee7100" stroked="f" strokeweight="1pt"/>
              <v:rect id="Rechteck 8" o:spid="_x0000_s1029" style="position:absolute;left:50412;width:2556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" fillcolor="#b2b2b2" stroked="f" strokeweight="1pt"/>
              <w10:wrap anchorx="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4981F" w14:textId="77777777" w:rsidR="008123BA" w:rsidRPr="00510585" w:rsidRDefault="008123BA" w:rsidP="00DF67BD">
      <w:pPr>
        <w:spacing w:after="0" w:line="240" w:lineRule="auto"/>
      </w:pPr>
      <w:r w:rsidRPr="00510585">
        <w:separator/>
      </w:r>
    </w:p>
  </w:footnote>
  <w:footnote w:type="continuationSeparator" w:id="0">
    <w:p w14:paraId="44DA5139" w14:textId="77777777" w:rsidR="008123BA" w:rsidRPr="00510585" w:rsidRDefault="008123BA" w:rsidP="00DF67BD">
      <w:pPr>
        <w:spacing w:after="0" w:line="240" w:lineRule="auto"/>
      </w:pPr>
      <w:r w:rsidRPr="005105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3011" w14:textId="77777777" w:rsidR="00845F22" w:rsidRPr="00845F22" w:rsidRDefault="00B24C65" w:rsidP="00845F22">
    <w:pPr>
      <w:pStyle w:val="Kopfzeile"/>
    </w:pPr>
    <w:r>
      <w:rPr>
        <w:noProof/>
      </w:rPr>
      <w:drawing>
        <wp:anchor distT="0" distB="0" distL="114300" distR="114300" simplePos="0" relativeHeight="251658240" behindDoc="1" locked="0" layoutInCell="1" allowOverlap="1" wp14:anchorId="3810B7BD" wp14:editId="14FD4F2D">
          <wp:simplePos x="0" y="0"/>
          <wp:positionH relativeFrom="column">
            <wp:posOffset>-177221</wp:posOffset>
          </wp:positionH>
          <wp:positionV relativeFrom="paragraph">
            <wp:posOffset>-167005</wp:posOffset>
          </wp:positionV>
          <wp:extent cx="2398858" cy="885600"/>
          <wp:effectExtent l="0" t="0" r="0" b="0"/>
          <wp:wrapNone/>
          <wp:docPr id="174952926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856564" name="Grafik 1164856564"/>
                  <pic:cNvPicPr/>
                </pic:nvPicPr>
                <pic:blipFill>
                  <a:blip r:embed="rId1">
                    <a:extLst>
                      <a:ext uri="{96DAC541-7B7A-43D3-8B79-37D633B846F1}">
                        <asvg:svgBlip xmlns:asvg="http://schemas.microsoft.com/office/drawing/2016/SVG/main" r:embed="rId2"/>
                      </a:ext>
                    </a:extLst>
                  </a:blip>
                  <a:stretch>
                    <a:fillRect/>
                  </a:stretch>
                </pic:blipFill>
                <pic:spPr>
                  <a:xfrm>
                    <a:off x="0" y="0"/>
                    <a:ext cx="2398858" cy="8856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DBB"/>
    <w:rsid w:val="000012FA"/>
    <w:rsid w:val="00006272"/>
    <w:rsid w:val="00021E85"/>
    <w:rsid w:val="00036F96"/>
    <w:rsid w:val="00060460"/>
    <w:rsid w:val="000645CB"/>
    <w:rsid w:val="0007425A"/>
    <w:rsid w:val="000742C2"/>
    <w:rsid w:val="00075135"/>
    <w:rsid w:val="000D1327"/>
    <w:rsid w:val="00113C6B"/>
    <w:rsid w:val="00114B2A"/>
    <w:rsid w:val="00117994"/>
    <w:rsid w:val="001246FF"/>
    <w:rsid w:val="00130576"/>
    <w:rsid w:val="00152C03"/>
    <w:rsid w:val="001801D3"/>
    <w:rsid w:val="0018325A"/>
    <w:rsid w:val="0018372C"/>
    <w:rsid w:val="0019654C"/>
    <w:rsid w:val="001B108E"/>
    <w:rsid w:val="001B6BF8"/>
    <w:rsid w:val="001B7B49"/>
    <w:rsid w:val="001C6370"/>
    <w:rsid w:val="001C6582"/>
    <w:rsid w:val="001E5F15"/>
    <w:rsid w:val="001F0983"/>
    <w:rsid w:val="001F0FF6"/>
    <w:rsid w:val="001F3757"/>
    <w:rsid w:val="00263847"/>
    <w:rsid w:val="002F7AFA"/>
    <w:rsid w:val="00302F48"/>
    <w:rsid w:val="00307011"/>
    <w:rsid w:val="00330819"/>
    <w:rsid w:val="00342C4E"/>
    <w:rsid w:val="0035643A"/>
    <w:rsid w:val="003711C5"/>
    <w:rsid w:val="003907D8"/>
    <w:rsid w:val="0039542F"/>
    <w:rsid w:val="003A42D1"/>
    <w:rsid w:val="003C1CF0"/>
    <w:rsid w:val="003C39CC"/>
    <w:rsid w:val="003D0448"/>
    <w:rsid w:val="003E727F"/>
    <w:rsid w:val="00416077"/>
    <w:rsid w:val="00435E62"/>
    <w:rsid w:val="004412BA"/>
    <w:rsid w:val="00446C36"/>
    <w:rsid w:val="00453B45"/>
    <w:rsid w:val="004C4B0E"/>
    <w:rsid w:val="004D4EA9"/>
    <w:rsid w:val="00507727"/>
    <w:rsid w:val="00510585"/>
    <w:rsid w:val="00522F98"/>
    <w:rsid w:val="005239D2"/>
    <w:rsid w:val="0053200D"/>
    <w:rsid w:val="00540851"/>
    <w:rsid w:val="005660E8"/>
    <w:rsid w:val="0059201F"/>
    <w:rsid w:val="005C13EB"/>
    <w:rsid w:val="005D642A"/>
    <w:rsid w:val="005D6D11"/>
    <w:rsid w:val="005E61AB"/>
    <w:rsid w:val="0060284C"/>
    <w:rsid w:val="006075B8"/>
    <w:rsid w:val="006139EE"/>
    <w:rsid w:val="006E7B5A"/>
    <w:rsid w:val="007059F7"/>
    <w:rsid w:val="00731760"/>
    <w:rsid w:val="00733B93"/>
    <w:rsid w:val="007365C7"/>
    <w:rsid w:val="00767338"/>
    <w:rsid w:val="007877E5"/>
    <w:rsid w:val="007B0418"/>
    <w:rsid w:val="007B3386"/>
    <w:rsid w:val="007B36A4"/>
    <w:rsid w:val="007D166B"/>
    <w:rsid w:val="007F029C"/>
    <w:rsid w:val="008123BA"/>
    <w:rsid w:val="00827547"/>
    <w:rsid w:val="0083034C"/>
    <w:rsid w:val="00831E0C"/>
    <w:rsid w:val="00835C93"/>
    <w:rsid w:val="00837795"/>
    <w:rsid w:val="008425B7"/>
    <w:rsid w:val="00845F22"/>
    <w:rsid w:val="00856B6E"/>
    <w:rsid w:val="00861546"/>
    <w:rsid w:val="00870C2A"/>
    <w:rsid w:val="00890568"/>
    <w:rsid w:val="00897933"/>
    <w:rsid w:val="008D079F"/>
    <w:rsid w:val="008E3083"/>
    <w:rsid w:val="008F39B8"/>
    <w:rsid w:val="008F7485"/>
    <w:rsid w:val="00920334"/>
    <w:rsid w:val="00933D36"/>
    <w:rsid w:val="00936603"/>
    <w:rsid w:val="00954CA7"/>
    <w:rsid w:val="00960B8C"/>
    <w:rsid w:val="009D5E5E"/>
    <w:rsid w:val="00A11FE4"/>
    <w:rsid w:val="00A50307"/>
    <w:rsid w:val="00A55415"/>
    <w:rsid w:val="00A57124"/>
    <w:rsid w:val="00A62A83"/>
    <w:rsid w:val="00A739B9"/>
    <w:rsid w:val="00AB122C"/>
    <w:rsid w:val="00AD7F37"/>
    <w:rsid w:val="00AF672F"/>
    <w:rsid w:val="00B24C65"/>
    <w:rsid w:val="00B256AE"/>
    <w:rsid w:val="00B45D05"/>
    <w:rsid w:val="00B517F8"/>
    <w:rsid w:val="00B840E6"/>
    <w:rsid w:val="00B90D36"/>
    <w:rsid w:val="00B9648A"/>
    <w:rsid w:val="00BD3A95"/>
    <w:rsid w:val="00BF7646"/>
    <w:rsid w:val="00C70576"/>
    <w:rsid w:val="00CA3C2E"/>
    <w:rsid w:val="00CC634F"/>
    <w:rsid w:val="00CE45E9"/>
    <w:rsid w:val="00D01483"/>
    <w:rsid w:val="00D21DBB"/>
    <w:rsid w:val="00D251AE"/>
    <w:rsid w:val="00D51A4C"/>
    <w:rsid w:val="00D82510"/>
    <w:rsid w:val="00D83E3A"/>
    <w:rsid w:val="00DA318B"/>
    <w:rsid w:val="00DC1A42"/>
    <w:rsid w:val="00DD2C57"/>
    <w:rsid w:val="00DF67BD"/>
    <w:rsid w:val="00E04B4F"/>
    <w:rsid w:val="00E23F33"/>
    <w:rsid w:val="00E34FB9"/>
    <w:rsid w:val="00E526A0"/>
    <w:rsid w:val="00E620E3"/>
    <w:rsid w:val="00E64B00"/>
    <w:rsid w:val="00E7214F"/>
    <w:rsid w:val="00EB1D6D"/>
    <w:rsid w:val="00EE3AB6"/>
    <w:rsid w:val="00F006B2"/>
    <w:rsid w:val="00F16406"/>
    <w:rsid w:val="00F46843"/>
    <w:rsid w:val="00F503C2"/>
    <w:rsid w:val="00F53A7E"/>
    <w:rsid w:val="00F7460F"/>
    <w:rsid w:val="00F806AA"/>
    <w:rsid w:val="00FA6C90"/>
    <w:rsid w:val="00FB3A21"/>
    <w:rsid w:val="00FE281D"/>
    <w:rsid w:val="00FE5E87"/>
    <w:rsid w:val="00FF44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CE2E5"/>
  <w15:chartTrackingRefBased/>
  <w15:docId w15:val="{28E68FA7-DC22-4610-B1E1-4DA1312BB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EBRO-Standard"/>
    <w:qFormat/>
    <w:rsid w:val="00D21DBB"/>
    <w:rPr>
      <w:rFonts w:ascii="Noto Sans Light" w:hAnsi="Noto Sans Light"/>
      <w:color w:val="003570"/>
      <w:sz w:val="20"/>
    </w:rPr>
  </w:style>
  <w:style w:type="paragraph" w:styleId="berschrift1">
    <w:name w:val="heading 1"/>
    <w:basedOn w:val="Standard"/>
    <w:next w:val="Standard"/>
    <w:link w:val="berschrift1Zchn"/>
    <w:uiPriority w:val="9"/>
    <w:qFormat/>
    <w:rsid w:val="00A739B9"/>
    <w:pPr>
      <w:keepNext/>
      <w:keepLines/>
      <w:spacing w:before="360" w:after="80"/>
      <w:outlineLvl w:val="0"/>
    </w:pPr>
    <w:rPr>
      <w:rFonts w:asciiTheme="majorHAnsi" w:eastAsiaTheme="majorEastAsia" w:hAnsiTheme="majorHAnsi" w:cstheme="majorBidi"/>
      <w:color w:val="002753" w:themeColor="accent1" w:themeShade="BF"/>
      <w:sz w:val="40"/>
      <w:szCs w:val="40"/>
    </w:rPr>
  </w:style>
  <w:style w:type="paragraph" w:styleId="berschrift2">
    <w:name w:val="heading 2"/>
    <w:basedOn w:val="Standard"/>
    <w:next w:val="Standard"/>
    <w:link w:val="berschrift2Zchn"/>
    <w:uiPriority w:val="9"/>
    <w:semiHidden/>
    <w:unhideWhenUsed/>
    <w:qFormat/>
    <w:rsid w:val="00A739B9"/>
    <w:pPr>
      <w:keepNext/>
      <w:keepLines/>
      <w:spacing w:before="160" w:after="80"/>
      <w:outlineLvl w:val="1"/>
    </w:pPr>
    <w:rPr>
      <w:rFonts w:asciiTheme="majorHAnsi" w:eastAsiaTheme="majorEastAsia" w:hAnsiTheme="majorHAnsi" w:cstheme="majorBidi"/>
      <w:color w:val="002753" w:themeColor="accent1" w:themeShade="BF"/>
      <w:sz w:val="32"/>
      <w:szCs w:val="32"/>
    </w:rPr>
  </w:style>
  <w:style w:type="paragraph" w:styleId="berschrift3">
    <w:name w:val="heading 3"/>
    <w:basedOn w:val="Standard"/>
    <w:next w:val="Standard"/>
    <w:link w:val="berschrift3Zchn"/>
    <w:uiPriority w:val="9"/>
    <w:semiHidden/>
    <w:unhideWhenUsed/>
    <w:qFormat/>
    <w:rsid w:val="00A739B9"/>
    <w:pPr>
      <w:keepNext/>
      <w:keepLines/>
      <w:spacing w:before="160" w:after="80"/>
      <w:outlineLvl w:val="2"/>
    </w:pPr>
    <w:rPr>
      <w:rFonts w:eastAsiaTheme="majorEastAsia" w:cstheme="majorBidi"/>
      <w:color w:val="002753" w:themeColor="accent1" w:themeShade="BF"/>
      <w:sz w:val="28"/>
      <w:szCs w:val="28"/>
    </w:rPr>
  </w:style>
  <w:style w:type="paragraph" w:styleId="berschrift4">
    <w:name w:val="heading 4"/>
    <w:basedOn w:val="Standard"/>
    <w:next w:val="Standard"/>
    <w:link w:val="berschrift4Zchn"/>
    <w:uiPriority w:val="9"/>
    <w:semiHidden/>
    <w:unhideWhenUsed/>
    <w:qFormat/>
    <w:rsid w:val="00A739B9"/>
    <w:pPr>
      <w:keepNext/>
      <w:keepLines/>
      <w:spacing w:before="80" w:after="40"/>
      <w:outlineLvl w:val="3"/>
    </w:pPr>
    <w:rPr>
      <w:rFonts w:eastAsiaTheme="majorEastAsia" w:cstheme="majorBidi"/>
      <w:i/>
      <w:iCs/>
      <w:color w:val="002753" w:themeColor="accent1" w:themeShade="BF"/>
    </w:rPr>
  </w:style>
  <w:style w:type="paragraph" w:styleId="berschrift5">
    <w:name w:val="heading 5"/>
    <w:basedOn w:val="Standard"/>
    <w:next w:val="Standard"/>
    <w:link w:val="berschrift5Zchn"/>
    <w:uiPriority w:val="9"/>
    <w:semiHidden/>
    <w:unhideWhenUsed/>
    <w:qFormat/>
    <w:rsid w:val="00A739B9"/>
    <w:pPr>
      <w:keepNext/>
      <w:keepLines/>
      <w:spacing w:before="80" w:after="40"/>
      <w:outlineLvl w:val="4"/>
    </w:pPr>
    <w:rPr>
      <w:rFonts w:eastAsiaTheme="majorEastAsia" w:cstheme="majorBidi"/>
      <w:color w:val="002753" w:themeColor="accent1" w:themeShade="BF"/>
    </w:rPr>
  </w:style>
  <w:style w:type="paragraph" w:styleId="berschrift6">
    <w:name w:val="heading 6"/>
    <w:basedOn w:val="Standard"/>
    <w:next w:val="Standard"/>
    <w:link w:val="berschrift6Zchn"/>
    <w:uiPriority w:val="9"/>
    <w:semiHidden/>
    <w:unhideWhenUsed/>
    <w:qFormat/>
    <w:rsid w:val="00A739B9"/>
    <w:pPr>
      <w:keepNext/>
      <w:keepLines/>
      <w:spacing w:before="40" w:after="0"/>
      <w:outlineLvl w:val="5"/>
    </w:pPr>
    <w:rPr>
      <w:rFonts w:eastAsiaTheme="majorEastAsia" w:cstheme="majorBidi"/>
      <w:i/>
      <w:iCs/>
      <w:color w:val="0075FA" w:themeColor="text1" w:themeTint="A6"/>
    </w:rPr>
  </w:style>
  <w:style w:type="paragraph" w:styleId="berschrift7">
    <w:name w:val="heading 7"/>
    <w:basedOn w:val="Standard"/>
    <w:next w:val="Standard"/>
    <w:link w:val="berschrift7Zchn"/>
    <w:uiPriority w:val="9"/>
    <w:semiHidden/>
    <w:unhideWhenUsed/>
    <w:qFormat/>
    <w:rsid w:val="00A739B9"/>
    <w:pPr>
      <w:keepNext/>
      <w:keepLines/>
      <w:spacing w:before="40" w:after="0"/>
      <w:outlineLvl w:val="6"/>
    </w:pPr>
    <w:rPr>
      <w:rFonts w:eastAsiaTheme="majorEastAsia" w:cstheme="majorBidi"/>
      <w:color w:val="0075FA" w:themeColor="text1" w:themeTint="A6"/>
    </w:rPr>
  </w:style>
  <w:style w:type="paragraph" w:styleId="berschrift8">
    <w:name w:val="heading 8"/>
    <w:basedOn w:val="Standard"/>
    <w:next w:val="Standard"/>
    <w:link w:val="berschrift8Zchn"/>
    <w:uiPriority w:val="9"/>
    <w:semiHidden/>
    <w:unhideWhenUsed/>
    <w:qFormat/>
    <w:rsid w:val="00A739B9"/>
    <w:pPr>
      <w:keepNext/>
      <w:keepLines/>
      <w:spacing w:after="0"/>
      <w:outlineLvl w:val="7"/>
    </w:pPr>
    <w:rPr>
      <w:rFonts w:eastAsiaTheme="majorEastAsia" w:cstheme="majorBidi"/>
      <w:i/>
      <w:iCs/>
      <w:color w:val="0051AC" w:themeColor="text1" w:themeTint="D8"/>
    </w:rPr>
  </w:style>
  <w:style w:type="paragraph" w:styleId="berschrift9">
    <w:name w:val="heading 9"/>
    <w:basedOn w:val="Standard"/>
    <w:next w:val="Standard"/>
    <w:link w:val="berschrift9Zchn"/>
    <w:uiPriority w:val="9"/>
    <w:semiHidden/>
    <w:unhideWhenUsed/>
    <w:qFormat/>
    <w:rsid w:val="00A739B9"/>
    <w:pPr>
      <w:keepNext/>
      <w:keepLines/>
      <w:spacing w:after="0"/>
      <w:outlineLvl w:val="8"/>
    </w:pPr>
    <w:rPr>
      <w:rFonts w:eastAsiaTheme="majorEastAsia" w:cstheme="majorBidi"/>
      <w:color w:val="0051A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739B9"/>
    <w:rPr>
      <w:rFonts w:asciiTheme="majorHAnsi" w:eastAsiaTheme="majorEastAsia" w:hAnsiTheme="majorHAnsi" w:cstheme="majorBidi"/>
      <w:color w:val="002753" w:themeColor="accent1" w:themeShade="BF"/>
      <w:sz w:val="40"/>
      <w:szCs w:val="40"/>
    </w:rPr>
  </w:style>
  <w:style w:type="character" w:customStyle="1" w:styleId="berschrift2Zchn">
    <w:name w:val="Überschrift 2 Zchn"/>
    <w:basedOn w:val="Absatz-Standardschriftart"/>
    <w:link w:val="berschrift2"/>
    <w:uiPriority w:val="9"/>
    <w:semiHidden/>
    <w:rsid w:val="00A739B9"/>
    <w:rPr>
      <w:rFonts w:asciiTheme="majorHAnsi" w:eastAsiaTheme="majorEastAsia" w:hAnsiTheme="majorHAnsi" w:cstheme="majorBidi"/>
      <w:color w:val="002753" w:themeColor="accent1" w:themeShade="BF"/>
      <w:sz w:val="32"/>
      <w:szCs w:val="32"/>
    </w:rPr>
  </w:style>
  <w:style w:type="character" w:customStyle="1" w:styleId="berschrift3Zchn">
    <w:name w:val="Überschrift 3 Zchn"/>
    <w:basedOn w:val="Absatz-Standardschriftart"/>
    <w:link w:val="berschrift3"/>
    <w:uiPriority w:val="9"/>
    <w:semiHidden/>
    <w:rsid w:val="00A739B9"/>
    <w:rPr>
      <w:rFonts w:eastAsiaTheme="majorEastAsia" w:cstheme="majorBidi"/>
      <w:color w:val="002753" w:themeColor="accent1" w:themeShade="BF"/>
      <w:sz w:val="28"/>
      <w:szCs w:val="28"/>
    </w:rPr>
  </w:style>
  <w:style w:type="character" w:customStyle="1" w:styleId="berschrift4Zchn">
    <w:name w:val="Überschrift 4 Zchn"/>
    <w:basedOn w:val="Absatz-Standardschriftart"/>
    <w:link w:val="berschrift4"/>
    <w:uiPriority w:val="9"/>
    <w:semiHidden/>
    <w:rsid w:val="00A739B9"/>
    <w:rPr>
      <w:rFonts w:eastAsiaTheme="majorEastAsia" w:cstheme="majorBidi"/>
      <w:i/>
      <w:iCs/>
      <w:color w:val="002753" w:themeColor="accent1" w:themeShade="BF"/>
    </w:rPr>
  </w:style>
  <w:style w:type="character" w:customStyle="1" w:styleId="berschrift5Zchn">
    <w:name w:val="Überschrift 5 Zchn"/>
    <w:basedOn w:val="Absatz-Standardschriftart"/>
    <w:link w:val="berschrift5"/>
    <w:uiPriority w:val="9"/>
    <w:semiHidden/>
    <w:rsid w:val="00A739B9"/>
    <w:rPr>
      <w:rFonts w:eastAsiaTheme="majorEastAsia" w:cstheme="majorBidi"/>
      <w:color w:val="002753" w:themeColor="accent1" w:themeShade="BF"/>
    </w:rPr>
  </w:style>
  <w:style w:type="character" w:customStyle="1" w:styleId="berschrift6Zchn">
    <w:name w:val="Überschrift 6 Zchn"/>
    <w:basedOn w:val="Absatz-Standardschriftart"/>
    <w:link w:val="berschrift6"/>
    <w:uiPriority w:val="9"/>
    <w:semiHidden/>
    <w:rsid w:val="00A739B9"/>
    <w:rPr>
      <w:rFonts w:eastAsiaTheme="majorEastAsia" w:cstheme="majorBidi"/>
      <w:i/>
      <w:iCs/>
      <w:color w:val="0075FA" w:themeColor="text1" w:themeTint="A6"/>
    </w:rPr>
  </w:style>
  <w:style w:type="character" w:customStyle="1" w:styleId="berschrift7Zchn">
    <w:name w:val="Überschrift 7 Zchn"/>
    <w:basedOn w:val="Absatz-Standardschriftart"/>
    <w:link w:val="berschrift7"/>
    <w:uiPriority w:val="9"/>
    <w:semiHidden/>
    <w:rsid w:val="00A739B9"/>
    <w:rPr>
      <w:rFonts w:eastAsiaTheme="majorEastAsia" w:cstheme="majorBidi"/>
      <w:color w:val="0075FA" w:themeColor="text1" w:themeTint="A6"/>
    </w:rPr>
  </w:style>
  <w:style w:type="character" w:customStyle="1" w:styleId="berschrift8Zchn">
    <w:name w:val="Überschrift 8 Zchn"/>
    <w:basedOn w:val="Absatz-Standardschriftart"/>
    <w:link w:val="berschrift8"/>
    <w:uiPriority w:val="9"/>
    <w:semiHidden/>
    <w:rsid w:val="00A739B9"/>
    <w:rPr>
      <w:rFonts w:eastAsiaTheme="majorEastAsia" w:cstheme="majorBidi"/>
      <w:i/>
      <w:iCs/>
      <w:color w:val="0051AC" w:themeColor="text1" w:themeTint="D8"/>
    </w:rPr>
  </w:style>
  <w:style w:type="character" w:customStyle="1" w:styleId="berschrift9Zchn">
    <w:name w:val="Überschrift 9 Zchn"/>
    <w:basedOn w:val="Absatz-Standardschriftart"/>
    <w:link w:val="berschrift9"/>
    <w:uiPriority w:val="9"/>
    <w:semiHidden/>
    <w:rsid w:val="00A739B9"/>
    <w:rPr>
      <w:rFonts w:eastAsiaTheme="majorEastAsia" w:cstheme="majorBidi"/>
      <w:color w:val="0051AC" w:themeColor="text1" w:themeTint="D8"/>
    </w:rPr>
  </w:style>
  <w:style w:type="paragraph" w:styleId="Titel">
    <w:name w:val="Title"/>
    <w:basedOn w:val="Standard"/>
    <w:next w:val="Standard"/>
    <w:link w:val="TitelZchn"/>
    <w:uiPriority w:val="10"/>
    <w:qFormat/>
    <w:rsid w:val="00A739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739B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739B9"/>
    <w:pPr>
      <w:numPr>
        <w:ilvl w:val="1"/>
      </w:numPr>
    </w:pPr>
    <w:rPr>
      <w:rFonts w:eastAsiaTheme="majorEastAsia" w:cstheme="majorBidi"/>
      <w:color w:val="0075FA" w:themeColor="text1" w:themeTint="A6"/>
      <w:spacing w:val="15"/>
      <w:sz w:val="28"/>
      <w:szCs w:val="28"/>
    </w:rPr>
  </w:style>
  <w:style w:type="character" w:customStyle="1" w:styleId="UntertitelZchn">
    <w:name w:val="Untertitel Zchn"/>
    <w:basedOn w:val="Absatz-Standardschriftart"/>
    <w:link w:val="Untertitel"/>
    <w:uiPriority w:val="11"/>
    <w:rsid w:val="00A739B9"/>
    <w:rPr>
      <w:rFonts w:eastAsiaTheme="majorEastAsia" w:cstheme="majorBidi"/>
      <w:color w:val="0075FA" w:themeColor="text1" w:themeTint="A6"/>
      <w:spacing w:val="15"/>
      <w:sz w:val="28"/>
      <w:szCs w:val="28"/>
    </w:rPr>
  </w:style>
  <w:style w:type="paragraph" w:styleId="Zitat">
    <w:name w:val="Quote"/>
    <w:basedOn w:val="Standard"/>
    <w:next w:val="Standard"/>
    <w:link w:val="ZitatZchn"/>
    <w:uiPriority w:val="29"/>
    <w:qFormat/>
    <w:rsid w:val="00A739B9"/>
    <w:pPr>
      <w:spacing w:before="160"/>
      <w:jc w:val="center"/>
    </w:pPr>
    <w:rPr>
      <w:i/>
      <w:iCs/>
      <w:color w:val="0063D3" w:themeColor="text1" w:themeTint="BF"/>
    </w:rPr>
  </w:style>
  <w:style w:type="character" w:customStyle="1" w:styleId="ZitatZchn">
    <w:name w:val="Zitat Zchn"/>
    <w:basedOn w:val="Absatz-Standardschriftart"/>
    <w:link w:val="Zitat"/>
    <w:uiPriority w:val="29"/>
    <w:rsid w:val="00A739B9"/>
    <w:rPr>
      <w:i/>
      <w:iCs/>
      <w:color w:val="0063D3" w:themeColor="text1" w:themeTint="BF"/>
    </w:rPr>
  </w:style>
  <w:style w:type="paragraph" w:styleId="Listenabsatz">
    <w:name w:val="List Paragraph"/>
    <w:basedOn w:val="Standard"/>
    <w:uiPriority w:val="34"/>
    <w:qFormat/>
    <w:rsid w:val="00A739B9"/>
    <w:pPr>
      <w:ind w:left="720"/>
      <w:contextualSpacing/>
    </w:pPr>
  </w:style>
  <w:style w:type="character" w:styleId="IntensiveHervorhebung">
    <w:name w:val="Intense Emphasis"/>
    <w:basedOn w:val="Absatz-Standardschriftart"/>
    <w:uiPriority w:val="21"/>
    <w:qFormat/>
    <w:rsid w:val="00A739B9"/>
    <w:rPr>
      <w:i/>
      <w:iCs/>
      <w:color w:val="002753" w:themeColor="accent1" w:themeShade="BF"/>
    </w:rPr>
  </w:style>
  <w:style w:type="paragraph" w:styleId="IntensivesZitat">
    <w:name w:val="Intense Quote"/>
    <w:basedOn w:val="Standard"/>
    <w:next w:val="Standard"/>
    <w:link w:val="IntensivesZitatZchn"/>
    <w:uiPriority w:val="30"/>
    <w:qFormat/>
    <w:rsid w:val="00A739B9"/>
    <w:pPr>
      <w:pBdr>
        <w:top w:val="single" w:sz="4" w:space="10" w:color="002753" w:themeColor="accent1" w:themeShade="BF"/>
        <w:bottom w:val="single" w:sz="4" w:space="10" w:color="002753" w:themeColor="accent1" w:themeShade="BF"/>
      </w:pBdr>
      <w:spacing w:before="360" w:after="360"/>
      <w:ind w:left="864" w:right="864"/>
      <w:jc w:val="center"/>
    </w:pPr>
    <w:rPr>
      <w:i/>
      <w:iCs/>
      <w:color w:val="002753" w:themeColor="accent1" w:themeShade="BF"/>
    </w:rPr>
  </w:style>
  <w:style w:type="character" w:customStyle="1" w:styleId="IntensivesZitatZchn">
    <w:name w:val="Intensives Zitat Zchn"/>
    <w:basedOn w:val="Absatz-Standardschriftart"/>
    <w:link w:val="IntensivesZitat"/>
    <w:uiPriority w:val="30"/>
    <w:rsid w:val="00A739B9"/>
    <w:rPr>
      <w:i/>
      <w:iCs/>
      <w:color w:val="002753" w:themeColor="accent1" w:themeShade="BF"/>
    </w:rPr>
  </w:style>
  <w:style w:type="character" w:styleId="IntensiverVerweis">
    <w:name w:val="Intense Reference"/>
    <w:basedOn w:val="Absatz-Standardschriftart"/>
    <w:uiPriority w:val="32"/>
    <w:qFormat/>
    <w:rsid w:val="00A739B9"/>
    <w:rPr>
      <w:b/>
      <w:bCs/>
      <w:smallCaps/>
      <w:color w:val="002753" w:themeColor="accent1" w:themeShade="BF"/>
      <w:spacing w:val="5"/>
    </w:rPr>
  </w:style>
  <w:style w:type="paragraph" w:styleId="Kopfzeile">
    <w:name w:val="header"/>
    <w:basedOn w:val="Standard"/>
    <w:link w:val="KopfzeileZchn"/>
    <w:uiPriority w:val="99"/>
    <w:unhideWhenUsed/>
    <w:rsid w:val="00DF67B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F67BD"/>
    <w:rPr>
      <w:rFonts w:ascii="Noto Sans Light" w:hAnsi="Noto Sans Light"/>
      <w:color w:val="003570"/>
      <w:sz w:val="20"/>
    </w:rPr>
  </w:style>
  <w:style w:type="paragraph" w:styleId="Fuzeile">
    <w:name w:val="footer"/>
    <w:basedOn w:val="Standard"/>
    <w:link w:val="FuzeileZchn"/>
    <w:uiPriority w:val="99"/>
    <w:unhideWhenUsed/>
    <w:rsid w:val="00DF67B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F67BD"/>
    <w:rPr>
      <w:rFonts w:ascii="Noto Sans Light" w:hAnsi="Noto Sans Light"/>
      <w:color w:val="003570"/>
      <w:sz w:val="20"/>
    </w:rPr>
  </w:style>
  <w:style w:type="paragraph" w:customStyle="1" w:styleId="berschrift">
    <w:name w:val="Überschrift"/>
    <w:basedOn w:val="Standard"/>
    <w:link w:val="berschriftZchn"/>
    <w:qFormat/>
    <w:rsid w:val="00D21DBB"/>
    <w:pPr>
      <w:spacing w:after="360"/>
    </w:pPr>
    <w:rPr>
      <w:rFonts w:ascii="Noto Sans Black" w:hAnsi="Noto Sans Black" w:cs="Noto Sans Black"/>
      <w:b/>
      <w:bCs/>
      <w:caps/>
      <w:noProof/>
      <w:color w:val="003570" w:themeColor="text1"/>
      <w:sz w:val="36"/>
      <w:szCs w:val="36"/>
    </w:rPr>
  </w:style>
  <w:style w:type="character" w:customStyle="1" w:styleId="berschriftZchn">
    <w:name w:val="Überschrift Zchn"/>
    <w:basedOn w:val="Absatz-Standardschriftart"/>
    <w:link w:val="berschrift"/>
    <w:rsid w:val="00D21DBB"/>
    <w:rPr>
      <w:rFonts w:ascii="Noto Sans Black" w:hAnsi="Noto Sans Black" w:cs="Noto Sans Black"/>
      <w:b/>
      <w:bCs/>
      <w:caps/>
      <w:noProof/>
      <w:color w:val="003570" w:themeColor="text1"/>
      <w:sz w:val="36"/>
      <w:szCs w:val="36"/>
      <w:lang w:val="en-US"/>
    </w:rPr>
  </w:style>
  <w:style w:type="paragraph" w:customStyle="1" w:styleId="Zwischenheadline">
    <w:name w:val="Zwischenheadline"/>
    <w:basedOn w:val="berschrift"/>
    <w:link w:val="ZwischenheadlineZchn"/>
    <w:qFormat/>
    <w:rsid w:val="00D21DBB"/>
    <w:rPr>
      <w:rFonts w:ascii="Noto Sans" w:hAnsi="Noto Sans"/>
      <w:bCs w:val="0"/>
      <w:sz w:val="24"/>
    </w:rPr>
  </w:style>
  <w:style w:type="character" w:customStyle="1" w:styleId="ZwischenheadlineZchn">
    <w:name w:val="Zwischenheadline Zchn"/>
    <w:basedOn w:val="berschriftZchn"/>
    <w:link w:val="Zwischenheadline"/>
    <w:rsid w:val="00D21DBB"/>
    <w:rPr>
      <w:rFonts w:ascii="Noto Sans" w:hAnsi="Noto Sans" w:cs="Noto Sans Black"/>
      <w:b/>
      <w:bCs w:val="0"/>
      <w:caps/>
      <w:noProof/>
      <w:color w:val="003570" w:themeColor="text1"/>
      <w:sz w:val="24"/>
      <w:szCs w:val="36"/>
      <w:lang w:val="en-US"/>
    </w:rPr>
  </w:style>
  <w:style w:type="paragraph" w:styleId="KeinLeerraum">
    <w:name w:val="No Spacing"/>
    <w:uiPriority w:val="1"/>
    <w:qFormat/>
    <w:rsid w:val="00D21DBB"/>
    <w:pPr>
      <w:spacing w:after="0" w:line="240" w:lineRule="auto"/>
    </w:pPr>
    <w:rPr>
      <w:rFonts w:ascii="Noto Sans Light" w:hAnsi="Noto Sans Light"/>
      <w:color w:val="003570"/>
      <w:sz w:val="20"/>
    </w:rPr>
  </w:style>
  <w:style w:type="character" w:styleId="Hyperlink">
    <w:name w:val="Hyperlink"/>
    <w:basedOn w:val="Absatz-Standardschriftart"/>
    <w:uiPriority w:val="99"/>
    <w:unhideWhenUsed/>
    <w:rsid w:val="00D21DBB"/>
    <w:rPr>
      <w:color w:val="EE7100" w:themeColor="hyperlink"/>
      <w:u w:val="single"/>
    </w:rPr>
  </w:style>
  <w:style w:type="character" w:styleId="NichtaufgelsteErwhnung">
    <w:name w:val="Unresolved Mention"/>
    <w:basedOn w:val="Absatz-Standardschriftart"/>
    <w:uiPriority w:val="99"/>
    <w:semiHidden/>
    <w:unhideWhenUsed/>
    <w:rsid w:val="00B840E6"/>
    <w:rPr>
      <w:color w:val="605E5C"/>
      <w:shd w:val="clear" w:color="auto" w:fill="E1DFDD"/>
    </w:rPr>
  </w:style>
  <w:style w:type="table" w:styleId="Tabellenraster">
    <w:name w:val="Table Grid"/>
    <w:basedOn w:val="NormaleTabelle"/>
    <w:uiPriority w:val="39"/>
    <w:rsid w:val="00D0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voelkel@ebro-armaturen.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EBRO Design">
      <a:dk1>
        <a:srgbClr val="003570"/>
      </a:dk1>
      <a:lt1>
        <a:srgbClr val="EDEDED"/>
      </a:lt1>
      <a:dk2>
        <a:srgbClr val="EE7100"/>
      </a:dk2>
      <a:lt2>
        <a:srgbClr val="FFFFFF"/>
      </a:lt2>
      <a:accent1>
        <a:srgbClr val="003570"/>
      </a:accent1>
      <a:accent2>
        <a:srgbClr val="E97132"/>
      </a:accent2>
      <a:accent3>
        <a:srgbClr val="008B59"/>
      </a:accent3>
      <a:accent4>
        <a:srgbClr val="0098D7"/>
      </a:accent4>
      <a:accent5>
        <a:srgbClr val="A02B93"/>
      </a:accent5>
      <a:accent6>
        <a:srgbClr val="84B597"/>
      </a:accent6>
      <a:hlink>
        <a:srgbClr val="EE7100"/>
      </a:hlink>
      <a:folHlink>
        <a:srgbClr val="0098D7"/>
      </a:folHlink>
    </a:clrScheme>
    <a:fontScheme name="EBRO Font">
      <a:majorFont>
        <a:latin typeface="Noto Sans SemiBold"/>
        <a:ea typeface=""/>
        <a:cs typeface=""/>
      </a:majorFont>
      <a:minorFont>
        <a:latin typeface="Noto Sans regula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d6c890-7c15-4af5-b138-781d626b0e68" xsi:nil="true"/>
    <lcf76f155ced4ddcb4097134ff3c332f xmlns="229f3883-2f5f-457d-ac62-b0883efd47d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8656F38BB01BE4F807776C8A9375057" ma:contentTypeVersion="17" ma:contentTypeDescription="Ein neues Dokument erstellen." ma:contentTypeScope="" ma:versionID="c99892c29d21621daf759108b0220222">
  <xsd:schema xmlns:xsd="http://www.w3.org/2001/XMLSchema" xmlns:xs="http://www.w3.org/2001/XMLSchema" xmlns:p="http://schemas.microsoft.com/office/2006/metadata/properties" xmlns:ns2="229f3883-2f5f-457d-ac62-b0883efd47df" xmlns:ns3="24d6c890-7c15-4af5-b138-781d626b0e68" targetNamespace="http://schemas.microsoft.com/office/2006/metadata/properties" ma:root="true" ma:fieldsID="7a138da1cd2900dabdfe3bcbf68b45ed" ns2:_="" ns3:_="">
    <xsd:import namespace="229f3883-2f5f-457d-ac62-b0883efd47df"/>
    <xsd:import namespace="24d6c890-7c15-4af5-b138-781d626b0e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9f3883-2f5f-457d-ac62-b0883efd4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770f1df-4062-47f3-88d4-9627cb7aad5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d6c890-7c15-4af5-b138-781d626b0e6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383bfbf-bebe-4ba9-947a-ee989eb0ec2d}" ma:internalName="TaxCatchAll" ma:showField="CatchAllData" ma:web="24d6c890-7c15-4af5-b138-781d626b0e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38D67-A375-4B71-B98A-F1B29997A352}">
  <ds:schemaRefs>
    <ds:schemaRef ds:uri="http://schemas.microsoft.com/office/2006/metadata/properties"/>
    <ds:schemaRef ds:uri="http://schemas.microsoft.com/office/infopath/2007/PartnerControls"/>
    <ds:schemaRef ds:uri="24d6c890-7c15-4af5-b138-781d626b0e68"/>
    <ds:schemaRef ds:uri="229f3883-2f5f-457d-ac62-b0883efd47df"/>
  </ds:schemaRefs>
</ds:datastoreItem>
</file>

<file path=customXml/itemProps2.xml><?xml version="1.0" encoding="utf-8"?>
<ds:datastoreItem xmlns:ds="http://schemas.openxmlformats.org/officeDocument/2006/customXml" ds:itemID="{6CF93E70-EF20-46BC-B9E1-89C63162F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9f3883-2f5f-457d-ac62-b0883efd47df"/>
    <ds:schemaRef ds:uri="24d6c890-7c15-4af5-b138-781d626b0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1AC87B-C720-4E6E-AA37-705743FC9EAE}">
  <ds:schemaRefs>
    <ds:schemaRef ds:uri="http://schemas.microsoft.com/sharepoint/v3/contenttype/forms"/>
  </ds:schemaRefs>
</ds:datastoreItem>
</file>

<file path=customXml/itemProps4.xml><?xml version="1.0" encoding="utf-8"?>
<ds:datastoreItem xmlns:ds="http://schemas.openxmlformats.org/officeDocument/2006/customXml" ds:itemID="{A840BE97-EF29-4918-B026-419061026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443</Words>
  <Characters>2794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EBRO ARMATUREN</Company>
  <LinksUpToDate>false</LinksUpToDate>
  <CharactersWithSpaces>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Fischer, Marc</dc:creator>
  <cp:keywords/>
  <dc:description/>
  <cp:lastModifiedBy>Fischer, Marc</cp:lastModifiedBy>
  <cp:revision>19</cp:revision>
  <cp:lastPrinted>2026-05-15T05:19:00Z</cp:lastPrinted>
  <dcterms:created xsi:type="dcterms:W3CDTF">2026-05-15T05:19:00Z</dcterms:created>
  <dcterms:modified xsi:type="dcterms:W3CDTF">2026-05-19T09:27:00Z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0x010100D8656F38BB01BE4F807776C8A9375057</vt:lpwstr>
  </property>
  <property fmtid="{D5CDD505-2E9C-101B-9397-08002B2CF9AE}" pid="3" name="MediaServiceImageTags">
    <vt:lpwstr/>
  </property>
</Properties>
</file>